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2-446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гражданское дело по исковому заявлению индивидуального предпринимателя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Романа Сергеевича к </w:t>
      </w:r>
      <w:r>
        <w:rPr>
          <w:rFonts w:ascii="Times New Roman" w:eastAsia="Times New Roman" w:hAnsi="Times New Roman" w:cs="Times New Roman"/>
          <w:sz w:val="28"/>
          <w:szCs w:val="28"/>
        </w:rPr>
        <w:t>Чудакову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Алексею Евгеньевичу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left="45" w:hanging="45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индивидуальному предпринимателю </w:t>
      </w:r>
      <w:r>
        <w:rPr>
          <w:rFonts w:ascii="Times New Roman" w:eastAsia="Times New Roman" w:hAnsi="Times New Roman" w:cs="Times New Roman"/>
          <w:sz w:val="28"/>
          <w:szCs w:val="28"/>
        </w:rPr>
        <w:t>Верейкину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Роману Сергеевичу к </w:t>
      </w:r>
      <w:r>
        <w:rPr>
          <w:rFonts w:ascii="Times New Roman" w:eastAsia="Times New Roman" w:hAnsi="Times New Roman" w:cs="Times New Roman"/>
          <w:sz w:val="28"/>
          <w:szCs w:val="28"/>
        </w:rPr>
        <w:t>Чудакову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Алексею Евгеньевичу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 - отказать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исковой давности.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в течение месяца со дня принятия решения суда в окончательной форме.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ind w:left="360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О.П. Артюх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М.А.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22 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